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106" w14:textId="77777777" w:rsidR="00FF5022" w:rsidRPr="0008418A" w:rsidRDefault="00FF5022" w:rsidP="00FF5022">
      <w:pPr>
        <w:pStyle w:val="Heading1"/>
        <w:ind w:left="720"/>
        <w:rPr>
          <w:rFonts w:ascii="Open Sans" w:eastAsia="Times New Roman" w:hAnsi="Open Sans" w:cs="Open Sans"/>
          <w:sz w:val="36"/>
          <w:szCs w:val="36"/>
        </w:rPr>
      </w:pPr>
      <w:r w:rsidRPr="0008418A">
        <w:rPr>
          <w:rStyle w:val="Heading1Char"/>
          <w:rFonts w:ascii="Open Sans" w:hAnsi="Open Sans" w:cs="Open Sans"/>
          <w:sz w:val="36"/>
          <w:szCs w:val="36"/>
        </w:rPr>
        <w:t>Section 508 Checklist</w:t>
      </w:r>
      <w:r w:rsidRPr="0008418A">
        <w:rPr>
          <w:rFonts w:ascii="Open Sans" w:eastAsia="Times New Roman" w:hAnsi="Open Sans" w:cs="Open Sans"/>
          <w:sz w:val="36"/>
          <w:szCs w:val="36"/>
        </w:rPr>
        <w:t xml:space="preserve"> </w:t>
      </w:r>
    </w:p>
    <w:p w14:paraId="26EEF4BE" w14:textId="77777777" w:rsidR="00FF5022" w:rsidRPr="00FF5022" w:rsidRDefault="00FF5022" w:rsidP="00FF5022">
      <w:pPr>
        <w:ind w:left="720"/>
        <w:rPr>
          <w:rFonts w:ascii="Open Sans" w:eastAsia="Times New Roman" w:hAnsi="Open Sans" w:cs="Open Sans"/>
          <w:sz w:val="24"/>
          <w:szCs w:val="24"/>
        </w:rPr>
      </w:pPr>
      <w:r w:rsidRPr="00FF5022">
        <w:rPr>
          <w:rFonts w:ascii="Open Sans" w:eastAsia="Times New Roman" w:hAnsi="Open Sans" w:cs="Open Sans"/>
          <w:sz w:val="24"/>
          <w:szCs w:val="24"/>
        </w:rPr>
        <w:t>If you are unsure of how to ensure your digital assets conform with the Section 508 standards or how to interpret the individual requirements:</w:t>
      </w:r>
    </w:p>
    <w:p w14:paraId="382FF464" w14:textId="77777777" w:rsidR="00FF5022" w:rsidRPr="00FF5022" w:rsidRDefault="00FF5022" w:rsidP="00FF5022">
      <w:pPr>
        <w:pStyle w:val="ListParagraph"/>
        <w:numPr>
          <w:ilvl w:val="0"/>
          <w:numId w:val="4"/>
        </w:numPr>
        <w:rPr>
          <w:rFonts w:ascii="Open Sans" w:eastAsia="Times New Roman" w:hAnsi="Open Sans" w:cs="Open Sans"/>
        </w:rPr>
      </w:pPr>
      <w:r w:rsidRPr="00FF5022">
        <w:rPr>
          <w:rFonts w:ascii="Open Sans" w:eastAsia="Times New Roman" w:hAnsi="Open Sans" w:cs="Open Sans"/>
        </w:rPr>
        <w:t xml:space="preserve">Contact us at </w:t>
      </w:r>
      <w:hyperlink r:id="rId7" w:history="1">
        <w:r w:rsidRPr="00FF5022">
          <w:rPr>
            <w:rStyle w:val="Hyperlink"/>
            <w:rFonts w:ascii="Open Sans" w:eastAsia="Times New Roman" w:hAnsi="Open Sans" w:cs="Open Sans"/>
          </w:rPr>
          <w:t>https://tpgi.com/contact/</w:t>
        </w:r>
      </w:hyperlink>
    </w:p>
    <w:p w14:paraId="258DE301" w14:textId="239A396C" w:rsidR="00FF5022" w:rsidRPr="0034582D" w:rsidRDefault="00FF5022" w:rsidP="0034582D">
      <w:pPr>
        <w:pStyle w:val="ListParagraph"/>
        <w:numPr>
          <w:ilvl w:val="0"/>
          <w:numId w:val="4"/>
        </w:numPr>
        <w:rPr>
          <w:rStyle w:val="Heading2Char"/>
          <w:rFonts w:eastAsia="Times New Roman"/>
          <w:color w:val="auto"/>
          <w:sz w:val="24"/>
          <w:szCs w:val="24"/>
          <w14:textFill>
            <w14:solidFill>
              <w14:srgbClr w14:val="000000">
                <w14:lumMod w14:val="75000"/>
              </w14:srgbClr>
            </w14:solidFill>
          </w14:textFill>
        </w:rPr>
      </w:pPr>
      <w:r w:rsidRPr="00FF5022">
        <w:rPr>
          <w:rFonts w:ascii="Open Sans" w:eastAsia="Times New Roman" w:hAnsi="Open Sans" w:cs="Open Sans"/>
        </w:rPr>
        <w:t xml:space="preserve">Call us at +1 (877)-775-9474 </w:t>
      </w:r>
    </w:p>
    <w:p w14:paraId="294C5440" w14:textId="77777777" w:rsidR="0034582D" w:rsidRPr="001F36A4" w:rsidRDefault="00FF5022" w:rsidP="001F36A4">
      <w:pPr>
        <w:pStyle w:val="Heading2"/>
        <w:rPr>
          <w:color w:val="2F5496" w:themeColor="accent1" w:themeShade="BF"/>
        </w:rPr>
      </w:pPr>
      <w:r w:rsidRPr="001F36A4">
        <w:rPr>
          <w:rStyle w:val="Heading2Char"/>
          <w:color w:val="2F5496" w:themeColor="accent1" w:themeShade="BF"/>
        </w:rPr>
        <w:t>Need more help?</w:t>
      </w:r>
    </w:p>
    <w:p w14:paraId="733400F2" w14:textId="75F3E95C" w:rsidR="00FF5022" w:rsidRPr="0034582D" w:rsidRDefault="00FF5022" w:rsidP="0034582D">
      <w:pPr>
        <w:ind w:left="720"/>
        <w:rPr>
          <w:rFonts w:ascii="Open Sans" w:eastAsia="Times New Roman" w:hAnsi="Open Sans" w:cs="Open Sans"/>
          <w:sz w:val="28"/>
          <w:szCs w:val="28"/>
        </w:rPr>
      </w:pPr>
      <w:r w:rsidRPr="00FF5022">
        <w:rPr>
          <w:rFonts w:ascii="Open Sans" w:eastAsia="Times New Roman" w:hAnsi="Open Sans" w:cs="Open Sans"/>
          <w:sz w:val="24"/>
          <w:szCs w:val="24"/>
        </w:rPr>
        <w:t xml:space="preserve">If you’re looking for a quick first step to assess your Section 508 conformance levels, you can sign up for a </w:t>
      </w:r>
      <w:hyperlink r:id="rId8" w:history="1">
        <w:r w:rsidRPr="00FF5022">
          <w:rPr>
            <w:rStyle w:val="Hyperlink"/>
            <w:rFonts w:ascii="Open Sans" w:eastAsia="Times New Roman" w:hAnsi="Open Sans" w:cs="Open Sans"/>
            <w:sz w:val="24"/>
            <w:szCs w:val="24"/>
          </w:rPr>
          <w:t>free website accessibility scan</w:t>
        </w:r>
      </w:hyperlink>
      <w:r w:rsidRPr="00FF5022">
        <w:rPr>
          <w:rFonts w:ascii="Open Sans" w:eastAsia="Times New Roman" w:hAnsi="Open Sans" w:cs="Open Sans"/>
          <w:sz w:val="24"/>
          <w:szCs w:val="24"/>
        </w:rPr>
        <w:t>, which will identify machine detectable WCAG conformance issues on your website. It’s the easiest way to see how your content measures up to WCAG 2.0 or 2.1.</w:t>
      </w:r>
    </w:p>
    <w:p w14:paraId="2039EECF" w14:textId="77777777" w:rsidR="00FF5022" w:rsidRPr="001F36A4" w:rsidRDefault="00FF5022" w:rsidP="001F36A4">
      <w:pPr>
        <w:pStyle w:val="Heading2"/>
        <w:rPr>
          <w:color w:val="2F5496" w:themeColor="accent1" w:themeShade="BF"/>
        </w:rPr>
      </w:pPr>
      <w:r w:rsidRPr="001F36A4">
        <w:rPr>
          <w:color w:val="2F5496" w:themeColor="accent1" w:themeShade="BF"/>
        </w:rPr>
        <w:t>What Is Section 508?</w:t>
      </w:r>
    </w:p>
    <w:p w14:paraId="698B35F1" w14:textId="77777777" w:rsidR="00FF5022" w:rsidRPr="00FF5022" w:rsidRDefault="00FF5022" w:rsidP="00FF5022">
      <w:pPr>
        <w:pStyle w:val="ListParagraph"/>
        <w:numPr>
          <w:ilvl w:val="0"/>
          <w:numId w:val="5"/>
        </w:numPr>
        <w:rPr>
          <w:rFonts w:ascii="Open Sans" w:hAnsi="Open Sans" w:cs="Open Sans"/>
        </w:rPr>
      </w:pPr>
      <w:r w:rsidRPr="00FF5022">
        <w:rPr>
          <w:rFonts w:ascii="Open Sans" w:hAnsi="Open Sans" w:cs="Open Sans"/>
        </w:rPr>
        <w:t xml:space="preserve">Section 508 is an amendment to the Rehabilitation Act of 1973, most recently updated in 2017. </w:t>
      </w:r>
    </w:p>
    <w:p w14:paraId="1CA147FA" w14:textId="77777777" w:rsidR="00FF5022" w:rsidRPr="00FF5022" w:rsidRDefault="00FF5022" w:rsidP="00FF5022">
      <w:pPr>
        <w:pStyle w:val="ListParagraph"/>
        <w:numPr>
          <w:ilvl w:val="0"/>
          <w:numId w:val="5"/>
        </w:numPr>
        <w:rPr>
          <w:rFonts w:ascii="Open Sans" w:hAnsi="Open Sans" w:cs="Open Sans"/>
        </w:rPr>
      </w:pPr>
      <w:r w:rsidRPr="00FF5022">
        <w:rPr>
          <w:rFonts w:ascii="Open Sans" w:hAnsi="Open Sans" w:cs="Open Sans"/>
          <w:color w:val="1B1B1B"/>
          <w:shd w:val="clear" w:color="auto" w:fill="FFFFFF"/>
        </w:rPr>
        <w:t xml:space="preserve">The Section 508 regulation includes specific accessibility standards for computer hardware, mobile phones, software, electronic content including documents, websites and multimedia, phone systems, copiers, and more.  The standards provide a framework to ensure that ICT products and services can be accessible and interoperate with assistive technology solutions such as voice control, screen readers, and screen magnifiers used by persons with disabilities. </w:t>
      </w:r>
    </w:p>
    <w:p w14:paraId="6B09B798" w14:textId="77777777" w:rsidR="0034582D" w:rsidRDefault="00FF5022" w:rsidP="0034582D">
      <w:pPr>
        <w:pStyle w:val="ListParagraph"/>
        <w:numPr>
          <w:ilvl w:val="0"/>
          <w:numId w:val="5"/>
        </w:numPr>
        <w:rPr>
          <w:rFonts w:ascii="Open Sans" w:hAnsi="Open Sans" w:cs="Open Sans"/>
        </w:rPr>
      </w:pPr>
      <w:r w:rsidRPr="00FF5022">
        <w:rPr>
          <w:rFonts w:ascii="Open Sans" w:hAnsi="Open Sans" w:cs="Open Sans"/>
        </w:rPr>
        <w:t>Whenever the US federal government develops, procures, maintains, or uses information and communications technology (ICT), Section 508 requires the government to provide comparable access to persons with or without disabilities.</w:t>
      </w:r>
    </w:p>
    <w:p w14:paraId="6501888E" w14:textId="77777777" w:rsidR="0034582D" w:rsidRPr="0034582D" w:rsidRDefault="00FF5022" w:rsidP="0034582D">
      <w:pPr>
        <w:pStyle w:val="ListParagraph"/>
        <w:numPr>
          <w:ilvl w:val="0"/>
          <w:numId w:val="5"/>
        </w:numPr>
        <w:rPr>
          <w:rFonts w:ascii="Open Sans" w:hAnsi="Open Sans" w:cs="Open Sans"/>
        </w:rPr>
      </w:pPr>
      <w:r w:rsidRPr="0034582D">
        <w:rPr>
          <w:rFonts w:ascii="Open Sans" w:eastAsia="Times New Roman" w:hAnsi="Open Sans" w:cs="Open Sans"/>
        </w:rPr>
        <w:t>For electronic content to be considered conformant with the Section 508 standards, it must meet Level A and Level AA Success Criteria and Conformance Requirements of the Web Content Accessibility Guidelines (WCAG), version 2.0. Additional Section 508 criteria apply to hardware, software, content creation tools, and their related documentation and support services.</w:t>
      </w:r>
    </w:p>
    <w:p w14:paraId="3D5E3FE2" w14:textId="423777F3" w:rsidR="00FF5022" w:rsidRPr="0034582D" w:rsidRDefault="00FF5022" w:rsidP="0034582D">
      <w:pPr>
        <w:pStyle w:val="ListParagraph"/>
        <w:numPr>
          <w:ilvl w:val="0"/>
          <w:numId w:val="5"/>
        </w:numPr>
        <w:rPr>
          <w:rFonts w:ascii="Open Sans" w:hAnsi="Open Sans" w:cs="Open Sans"/>
        </w:rPr>
      </w:pPr>
      <w:r w:rsidRPr="0034582D">
        <w:rPr>
          <w:rFonts w:ascii="Open Sans" w:eastAsia="Times New Roman" w:hAnsi="Open Sans" w:cs="Open Sans"/>
        </w:rPr>
        <w:t xml:space="preserve">Outside of the federal government, US entities who mandate Section 508 include state and local governments, schools and universities, </w:t>
      </w:r>
      <w:r w:rsidRPr="0034582D">
        <w:rPr>
          <w:rFonts w:ascii="Open Sans" w:eastAsia="Times New Roman" w:hAnsi="Open Sans" w:cs="Open Sans"/>
        </w:rPr>
        <w:lastRenderedPageBreak/>
        <w:t>organizations receiving federal funding, and technology providers for all of these.</w:t>
      </w:r>
    </w:p>
    <w:p w14:paraId="303A5130" w14:textId="77777777" w:rsidR="00FF5022" w:rsidRPr="00FF5022" w:rsidRDefault="00FF5022" w:rsidP="001F36A4">
      <w:pPr>
        <w:pStyle w:val="Heading2"/>
        <w:rPr>
          <w:color w:val="2F5496" w:themeColor="accent1" w:themeShade="BF"/>
          <w:sz w:val="24"/>
          <w:szCs w:val="24"/>
        </w:rPr>
      </w:pPr>
      <w:r w:rsidRPr="0008418A">
        <w:rPr>
          <w:color w:val="2F5496" w:themeColor="accent1" w:themeShade="BF"/>
        </w:rPr>
        <w:t>Why Is Section 508 Important?</w:t>
      </w:r>
    </w:p>
    <w:p w14:paraId="48496B8A" w14:textId="77777777" w:rsidR="00FF5022" w:rsidRPr="00FF5022" w:rsidRDefault="00FF5022" w:rsidP="00FF5022">
      <w:pPr>
        <w:pStyle w:val="ListParagraph"/>
        <w:numPr>
          <w:ilvl w:val="0"/>
          <w:numId w:val="6"/>
        </w:numPr>
        <w:rPr>
          <w:rFonts w:ascii="Open Sans" w:eastAsia="Times New Roman" w:hAnsi="Open Sans" w:cs="Open Sans"/>
        </w:rPr>
      </w:pPr>
      <w:r w:rsidRPr="00FF5022">
        <w:rPr>
          <w:rFonts w:ascii="Open Sans" w:eastAsia="Times New Roman" w:hAnsi="Open Sans" w:cs="Open Sans"/>
        </w:rPr>
        <w:t>As much as 20% of the world population are people who have disabilities.</w:t>
      </w:r>
    </w:p>
    <w:p w14:paraId="43AF6373" w14:textId="17C6843B" w:rsidR="00FF5022" w:rsidRPr="00FF5022" w:rsidRDefault="00FF5022" w:rsidP="00FF5022">
      <w:pPr>
        <w:pStyle w:val="ListParagraph"/>
        <w:numPr>
          <w:ilvl w:val="0"/>
          <w:numId w:val="6"/>
        </w:numPr>
        <w:rPr>
          <w:rFonts w:ascii="Open Sans" w:eastAsia="Times New Roman" w:hAnsi="Open Sans" w:cs="Open Sans"/>
        </w:rPr>
      </w:pPr>
      <w:r w:rsidRPr="00FF5022">
        <w:rPr>
          <w:rFonts w:ascii="Open Sans" w:eastAsia="Times New Roman" w:hAnsi="Open Sans" w:cs="Open Sans"/>
        </w:rPr>
        <w:t>For people with disabilities inaccessible information and communication technology creates often insurmountable barriers to everyday life activities such as shopping, employment, education, participation in government services, and more.</w:t>
      </w:r>
    </w:p>
    <w:p w14:paraId="3A871635" w14:textId="77777777" w:rsidR="00FF5022" w:rsidRPr="00FF5022" w:rsidRDefault="00FF5022" w:rsidP="00FF5022">
      <w:pPr>
        <w:pStyle w:val="ListParagraph"/>
        <w:numPr>
          <w:ilvl w:val="0"/>
          <w:numId w:val="6"/>
        </w:numPr>
        <w:rPr>
          <w:rFonts w:ascii="Open Sans" w:eastAsia="Times New Roman" w:hAnsi="Open Sans" w:cs="Open Sans"/>
        </w:rPr>
      </w:pPr>
      <w:r w:rsidRPr="00FF5022">
        <w:rPr>
          <w:rFonts w:ascii="Open Sans" w:eastAsia="Times New Roman" w:hAnsi="Open Sans" w:cs="Open Sans"/>
        </w:rPr>
        <w:t>Litigation based on inaccessibility can be expensive and not being selected for purchase by Federal and other customers can be opportunities missed.</w:t>
      </w:r>
    </w:p>
    <w:p w14:paraId="6B6BCA84" w14:textId="71AA5E75" w:rsidR="00FF5022" w:rsidRPr="0008418A" w:rsidRDefault="00FF5022" w:rsidP="001F36A4">
      <w:pPr>
        <w:pStyle w:val="Heading2"/>
        <w:rPr>
          <w:color w:val="2F5496" w:themeColor="accent1" w:themeShade="BF"/>
        </w:rPr>
      </w:pPr>
      <w:r w:rsidRPr="0008418A">
        <w:rPr>
          <w:color w:val="2F5496" w:themeColor="accent1" w:themeShade="BF"/>
        </w:rPr>
        <w:t>What Should I Do?</w:t>
      </w:r>
    </w:p>
    <w:p w14:paraId="691DA455" w14:textId="77777777" w:rsidR="003479A6" w:rsidRDefault="00FF5022" w:rsidP="00FF5022">
      <w:pPr>
        <w:ind w:left="720"/>
        <w:rPr>
          <w:rFonts w:ascii="Open Sans" w:eastAsia="Times New Roman" w:hAnsi="Open Sans" w:cs="Open Sans"/>
          <w:sz w:val="24"/>
          <w:szCs w:val="24"/>
        </w:rPr>
      </w:pPr>
      <w:r w:rsidRPr="00FF5022">
        <w:rPr>
          <w:rFonts w:ascii="Open Sans" w:eastAsia="Times New Roman" w:hAnsi="Open Sans" w:cs="Open Sans"/>
          <w:sz w:val="24"/>
          <w:szCs w:val="24"/>
        </w:rPr>
        <w:t>If you design, develop, integrate, sell, or maintain information and communications technology (ICT) you have a part to play in ensuring accessibility and Section 508 conformance.</w:t>
      </w:r>
    </w:p>
    <w:p w14:paraId="21450CF0" w14:textId="0A81136F" w:rsidR="00FF5022" w:rsidRPr="00FF5022" w:rsidRDefault="00FF5022" w:rsidP="00FF5022">
      <w:pPr>
        <w:ind w:left="720"/>
        <w:rPr>
          <w:rFonts w:ascii="Open Sans" w:eastAsia="Times New Roman" w:hAnsi="Open Sans" w:cs="Open Sans"/>
          <w:sz w:val="24"/>
          <w:szCs w:val="24"/>
        </w:rPr>
      </w:pPr>
      <w:r w:rsidRPr="00FF5022">
        <w:rPr>
          <w:rFonts w:ascii="Open Sans" w:eastAsia="Times New Roman" w:hAnsi="Open Sans" w:cs="Open Sans"/>
          <w:sz w:val="24"/>
          <w:szCs w:val="24"/>
        </w:rPr>
        <w:t>The following are steps you can take</w:t>
      </w:r>
      <w:r w:rsidR="003479A6">
        <w:rPr>
          <w:rFonts w:ascii="Open Sans" w:eastAsia="Times New Roman" w:hAnsi="Open Sans" w:cs="Open Sans"/>
          <w:sz w:val="24"/>
          <w:szCs w:val="24"/>
        </w:rPr>
        <w:t>:</w:t>
      </w:r>
    </w:p>
    <w:p w14:paraId="710E04B6"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Make accessibility a priority within your organization.</w:t>
      </w:r>
    </w:p>
    <w:p w14:paraId="41D7BCCB"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Identify content and technologies you develop, integrate, or sell, that you would like to make available for a wide range of US buyers and organizations.</w:t>
      </w:r>
    </w:p>
    <w:p w14:paraId="0C728932" w14:textId="77777777" w:rsidR="00FF5022" w:rsidRPr="003479A6" w:rsidRDefault="00000000" w:rsidP="003479A6">
      <w:pPr>
        <w:pStyle w:val="ListParagraph"/>
        <w:numPr>
          <w:ilvl w:val="0"/>
          <w:numId w:val="7"/>
        </w:numPr>
        <w:rPr>
          <w:rFonts w:ascii="Open Sans" w:eastAsia="Times New Roman" w:hAnsi="Open Sans" w:cs="Open Sans"/>
        </w:rPr>
      </w:pPr>
      <w:hyperlink r:id="rId9" w:history="1">
        <w:r w:rsidR="00FF5022" w:rsidRPr="003479A6">
          <w:rPr>
            <w:rStyle w:val="Hyperlink"/>
            <w:rFonts w:ascii="Open Sans" w:eastAsia="Times New Roman" w:hAnsi="Open Sans" w:cs="Open Sans"/>
          </w:rPr>
          <w:t>Audit your electronic content and ICT</w:t>
        </w:r>
      </w:hyperlink>
      <w:r w:rsidR="00FF5022" w:rsidRPr="003479A6">
        <w:rPr>
          <w:rFonts w:ascii="Open Sans" w:eastAsia="Times New Roman" w:hAnsi="Open Sans" w:cs="Open Sans"/>
        </w:rPr>
        <w:t xml:space="preserve"> for Section 508 conformance.</w:t>
      </w:r>
    </w:p>
    <w:p w14:paraId="210607A7"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 xml:space="preserve">Use the </w:t>
      </w:r>
      <w:hyperlink r:id="rId10" w:history="1">
        <w:r w:rsidRPr="003479A6">
          <w:rPr>
            <w:rStyle w:val="Hyperlink"/>
            <w:rFonts w:ascii="Open Sans" w:eastAsia="Times New Roman" w:hAnsi="Open Sans" w:cs="Open Sans"/>
          </w:rPr>
          <w:t>Voluntary Product Accessibility Template (VPAT)</w:t>
        </w:r>
      </w:hyperlink>
      <w:r w:rsidRPr="003479A6">
        <w:rPr>
          <w:rFonts w:ascii="Open Sans" w:eastAsia="Times New Roman" w:hAnsi="Open Sans" w:cs="Open Sans"/>
        </w:rPr>
        <w:t xml:space="preserve"> to document your level of Section 508 conformance.</w:t>
      </w:r>
    </w:p>
    <w:p w14:paraId="7F6045E4"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 xml:space="preserve">Get </w:t>
      </w:r>
      <w:hyperlink r:id="rId11" w:history="1">
        <w:r w:rsidRPr="003479A6">
          <w:rPr>
            <w:rStyle w:val="Hyperlink"/>
            <w:rFonts w:ascii="Open Sans" w:eastAsia="Times New Roman" w:hAnsi="Open Sans" w:cs="Open Sans"/>
          </w:rPr>
          <w:t>training on how to create accessible Section 508 conforming ICT</w:t>
        </w:r>
      </w:hyperlink>
      <w:r w:rsidRPr="003479A6">
        <w:rPr>
          <w:rFonts w:ascii="Open Sans" w:eastAsia="Times New Roman" w:hAnsi="Open Sans" w:cs="Open Sans"/>
        </w:rPr>
        <w:t xml:space="preserve">. </w:t>
      </w:r>
    </w:p>
    <w:p w14:paraId="2B662CD2" w14:textId="77777777" w:rsidR="00FF5022" w:rsidRPr="003479A6" w:rsidRDefault="00000000" w:rsidP="003479A6">
      <w:pPr>
        <w:pStyle w:val="ListParagraph"/>
        <w:numPr>
          <w:ilvl w:val="0"/>
          <w:numId w:val="7"/>
        </w:numPr>
        <w:rPr>
          <w:rFonts w:ascii="Open Sans" w:eastAsia="Times New Roman" w:hAnsi="Open Sans" w:cs="Open Sans"/>
        </w:rPr>
      </w:pPr>
      <w:hyperlink r:id="rId12" w:history="1">
        <w:r w:rsidR="00FF5022" w:rsidRPr="003479A6">
          <w:rPr>
            <w:rStyle w:val="Hyperlink"/>
            <w:rFonts w:ascii="Open Sans" w:eastAsia="Times New Roman" w:hAnsi="Open Sans" w:cs="Open Sans"/>
          </w:rPr>
          <w:t>Integrate accessibility into all phases</w:t>
        </w:r>
      </w:hyperlink>
      <w:r w:rsidR="00FF5022" w:rsidRPr="003479A6">
        <w:rPr>
          <w:rFonts w:ascii="Open Sans" w:eastAsia="Times New Roman" w:hAnsi="Open Sans" w:cs="Open Sans"/>
        </w:rPr>
        <w:t xml:space="preserve"> of your ICT processes.</w:t>
      </w:r>
    </w:p>
    <w:p w14:paraId="09D24AD6"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 xml:space="preserve">Prioritize remediation of accessibility gaps and </w:t>
      </w:r>
      <w:hyperlink r:id="rId13" w:history="1">
        <w:r w:rsidRPr="003479A6">
          <w:rPr>
            <w:rStyle w:val="Hyperlink"/>
            <w:rFonts w:ascii="Open Sans" w:eastAsia="Times New Roman" w:hAnsi="Open Sans" w:cs="Open Sans"/>
          </w:rPr>
          <w:t>iteratively improve your ICT to become Section 508 conforming</w:t>
        </w:r>
      </w:hyperlink>
      <w:r w:rsidRPr="003479A6">
        <w:rPr>
          <w:rFonts w:ascii="Open Sans" w:eastAsia="Times New Roman" w:hAnsi="Open Sans" w:cs="Open Sans"/>
        </w:rPr>
        <w:t>.</w:t>
      </w:r>
    </w:p>
    <w:p w14:paraId="638D9F59" w14:textId="77777777" w:rsidR="00FF5022" w:rsidRPr="003479A6" w:rsidRDefault="00FF5022" w:rsidP="003479A6">
      <w:pPr>
        <w:pStyle w:val="ListParagraph"/>
        <w:numPr>
          <w:ilvl w:val="0"/>
          <w:numId w:val="7"/>
        </w:numPr>
        <w:rPr>
          <w:rFonts w:ascii="Open Sans" w:eastAsia="Times New Roman" w:hAnsi="Open Sans" w:cs="Open Sans"/>
        </w:rPr>
      </w:pPr>
      <w:r w:rsidRPr="003479A6">
        <w:rPr>
          <w:rFonts w:ascii="Open Sans" w:eastAsia="Times New Roman" w:hAnsi="Open Sans" w:cs="Open Sans"/>
        </w:rPr>
        <w:t xml:space="preserve">Regularly </w:t>
      </w:r>
      <w:hyperlink r:id="rId14" w:history="1">
        <w:r w:rsidRPr="003479A6">
          <w:rPr>
            <w:rStyle w:val="Hyperlink"/>
            <w:rFonts w:ascii="Open Sans" w:eastAsia="Times New Roman" w:hAnsi="Open Sans" w:cs="Open Sans"/>
          </w:rPr>
          <w:t>measure your organization’s accessibility maturity</w:t>
        </w:r>
      </w:hyperlink>
      <w:r w:rsidRPr="003479A6">
        <w:rPr>
          <w:rFonts w:ascii="Open Sans" w:eastAsia="Times New Roman" w:hAnsi="Open Sans" w:cs="Open Sans"/>
        </w:rPr>
        <w:t xml:space="preserve"> and prioritize efforts as needed.</w:t>
      </w:r>
    </w:p>
    <w:p w14:paraId="4B270E98" w14:textId="1D035AA1" w:rsidR="00FF5022" w:rsidRPr="0008418A" w:rsidRDefault="00FF5022" w:rsidP="001F36A4">
      <w:pPr>
        <w:pStyle w:val="Heading2"/>
        <w:rPr>
          <w:color w:val="2F5496" w:themeColor="accent1" w:themeShade="BF"/>
        </w:rPr>
      </w:pPr>
      <w:r w:rsidRPr="0008418A">
        <w:rPr>
          <w:color w:val="2F5496" w:themeColor="accent1" w:themeShade="BF"/>
        </w:rPr>
        <w:t>Benefits</w:t>
      </w:r>
      <w:r w:rsidR="0034582D">
        <w:rPr>
          <w:color w:val="2F5496" w:themeColor="accent1" w:themeShade="BF"/>
        </w:rPr>
        <w:t xml:space="preserve"> of Section 508 Standards</w:t>
      </w:r>
    </w:p>
    <w:p w14:paraId="3467C153" w14:textId="77777777" w:rsidR="00FF5022" w:rsidRPr="003479A6" w:rsidRDefault="00FF5022" w:rsidP="003479A6">
      <w:pPr>
        <w:pStyle w:val="ListParagraph"/>
        <w:numPr>
          <w:ilvl w:val="0"/>
          <w:numId w:val="8"/>
        </w:numPr>
        <w:rPr>
          <w:rFonts w:ascii="Open Sans" w:eastAsia="Times New Roman" w:hAnsi="Open Sans" w:cs="Open Sans"/>
        </w:rPr>
      </w:pPr>
      <w:r w:rsidRPr="003479A6">
        <w:rPr>
          <w:rFonts w:ascii="Open Sans" w:eastAsia="Times New Roman" w:hAnsi="Open Sans" w:cs="Open Sans"/>
        </w:rPr>
        <w:t>Increased customer satisfaction</w:t>
      </w:r>
    </w:p>
    <w:p w14:paraId="0B705A68" w14:textId="77777777" w:rsidR="00FF5022" w:rsidRPr="003479A6" w:rsidRDefault="00FF5022" w:rsidP="003479A6">
      <w:pPr>
        <w:pStyle w:val="ListParagraph"/>
        <w:numPr>
          <w:ilvl w:val="0"/>
          <w:numId w:val="8"/>
        </w:numPr>
        <w:rPr>
          <w:rFonts w:ascii="Open Sans" w:eastAsia="Times New Roman" w:hAnsi="Open Sans" w:cs="Open Sans"/>
        </w:rPr>
      </w:pPr>
      <w:r w:rsidRPr="003479A6">
        <w:rPr>
          <w:rFonts w:ascii="Open Sans" w:eastAsia="Times New Roman" w:hAnsi="Open Sans" w:cs="Open Sans"/>
        </w:rPr>
        <w:t>Increased sales to federal and other US customers</w:t>
      </w:r>
    </w:p>
    <w:p w14:paraId="16207241" w14:textId="3C32FB77" w:rsidR="00DF563D" w:rsidRPr="0034582D" w:rsidRDefault="00FF5022" w:rsidP="0034582D">
      <w:pPr>
        <w:pStyle w:val="ListParagraph"/>
        <w:numPr>
          <w:ilvl w:val="0"/>
          <w:numId w:val="8"/>
        </w:numPr>
        <w:rPr>
          <w:rFonts w:ascii="Open Sans" w:eastAsia="Times New Roman" w:hAnsi="Open Sans" w:cs="Open Sans"/>
        </w:rPr>
      </w:pPr>
      <w:r w:rsidRPr="003479A6">
        <w:rPr>
          <w:rFonts w:ascii="Open Sans" w:eastAsia="Times New Roman" w:hAnsi="Open Sans" w:cs="Open Sans"/>
        </w:rPr>
        <w:t>Doing the right thing</w:t>
      </w:r>
    </w:p>
    <w:sectPr w:rsidR="00DF563D" w:rsidRPr="0034582D">
      <w:headerReference w:type="default" r:id="rId15"/>
      <w:footerReference w:type="default" r:id="rId16"/>
      <w:pgSz w:w="12240" w:h="15840"/>
      <w:pgMar w:top="1440" w:right="2521" w:bottom="1440"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71A1" w14:textId="77777777" w:rsidR="00755503" w:rsidRDefault="00755503" w:rsidP="00671ADF">
      <w:pPr>
        <w:spacing w:after="0" w:line="240" w:lineRule="auto"/>
      </w:pPr>
      <w:r>
        <w:separator/>
      </w:r>
    </w:p>
  </w:endnote>
  <w:endnote w:type="continuationSeparator" w:id="0">
    <w:p w14:paraId="22B69E20" w14:textId="77777777" w:rsidR="00755503" w:rsidRDefault="00755503" w:rsidP="0067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D462" w14:textId="64346EDD" w:rsidR="00944312" w:rsidRDefault="00DF563D">
    <w:pPr>
      <w:pStyle w:val="Footer"/>
    </w:pPr>
    <w:r>
      <w:rPr>
        <w:noProof/>
      </w:rPr>
      <mc:AlternateContent>
        <mc:Choice Requires="wps">
          <w:drawing>
            <wp:anchor distT="0" distB="0" distL="114300" distR="114300" simplePos="0" relativeHeight="251666432" behindDoc="0" locked="0" layoutInCell="1" allowOverlap="1" wp14:anchorId="4A8DFED5" wp14:editId="0893B521">
              <wp:simplePos x="0" y="0"/>
              <wp:positionH relativeFrom="column">
                <wp:posOffset>157691</wp:posOffset>
              </wp:positionH>
              <wp:positionV relativeFrom="paragraph">
                <wp:posOffset>-218652</wp:posOffset>
              </wp:positionV>
              <wp:extent cx="7136765" cy="0"/>
              <wp:effectExtent l="0" t="12700" r="1333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36765" cy="0"/>
                      </a:xfrm>
                      <a:prstGeom prst="line">
                        <a:avLst/>
                      </a:prstGeom>
                      <a:ln w="190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318B1" id="Straight Connector 2"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4pt,-17.2pt" to="57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" strokecolor="#5a5a5a [2109]" strokeweight="1.5pt">
              <v:stroke joinstyle="miter"/>
            </v:line>
          </w:pict>
        </mc:Fallback>
      </mc:AlternateContent>
    </w:r>
    <w:r w:rsidR="00944312">
      <w:rPr>
        <w:noProof/>
      </w:rPr>
      <mc:AlternateContent>
        <mc:Choice Requires="wps">
          <w:drawing>
            <wp:anchor distT="0" distB="0" distL="114300" distR="114300" simplePos="0" relativeHeight="251663360" behindDoc="0" locked="0" layoutInCell="1" allowOverlap="1" wp14:anchorId="4F274922" wp14:editId="1DB77CCB">
              <wp:simplePos x="0" y="0"/>
              <wp:positionH relativeFrom="column">
                <wp:posOffset>157480</wp:posOffset>
              </wp:positionH>
              <wp:positionV relativeFrom="paragraph">
                <wp:posOffset>-91652</wp:posOffset>
              </wp:positionV>
              <wp:extent cx="7136976" cy="405553"/>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36976" cy="405553"/>
                      </a:xfrm>
                      <a:prstGeom prst="rect">
                        <a:avLst/>
                      </a:prstGeom>
                      <a:noFill/>
                      <a:ln w="6350">
                        <a:noFill/>
                      </a:ln>
                    </wps:spPr>
                    <wps:txbx>
                      <w:txbxContent>
                        <w:p w14:paraId="3BAF1D07" w14:textId="0BC642E8" w:rsidR="00944312" w:rsidRDefault="00730535" w:rsidP="00730535">
                          <w:pPr>
                            <w:spacing w:line="200" w:lineRule="exact"/>
                            <w:jc w:val="center"/>
                          </w:pPr>
                          <w:r>
                            <w:t xml:space="preserve">TPG Interactive | Clearwater, FL 33764 | </w:t>
                          </w:r>
                          <w:r w:rsidR="00944312">
                            <w:t xml:space="preserve">TPGi.com | </w:t>
                          </w:r>
                          <w:hyperlink r:id="rId1" w:history="1">
                            <w:r w:rsidR="00944312" w:rsidRPr="00944312">
                              <w:rPr>
                                <w:rFonts w:ascii="Open Sans" w:eastAsia="Times New Roman" w:hAnsi="Open Sans" w:cs="Open Sans"/>
                                <w:b/>
                                <w:bCs/>
                                <w:color w:val="0000FF"/>
                                <w:sz w:val="23"/>
                                <w:szCs w:val="23"/>
                                <w:u w:val="single"/>
                              </w:rPr>
                              <w:t>(877) 775-9474</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74922" id="_x0000_t202" coordsize="21600,21600" o:spt="202" path="m,l,21600r21600,l21600,xe">
              <v:stroke joinstyle="miter"/>
              <v:path gradientshapeok="t" o:connecttype="rect"/>
            </v:shapetype>
            <v:shape id="Text Box 7" o:spid="_x0000_s1026" type="#_x0000_t202" alt="&quot;&quot;" style="position:absolute;margin-left:12.4pt;margin-top:-7.2pt;width:561.9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0cFw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" filled="f" stroked="f" strokeweight=".5pt">
              <v:textbox>
                <w:txbxContent>
                  <w:p w14:paraId="3BAF1D07" w14:textId="0BC642E8" w:rsidR="00944312" w:rsidRDefault="00730535" w:rsidP="00730535">
                    <w:pPr>
                      <w:spacing w:line="200" w:lineRule="exact"/>
                      <w:jc w:val="center"/>
                    </w:pPr>
                    <w:r>
                      <w:t xml:space="preserve">TPG Interactive | Clearwater, FL 33764 | </w:t>
                    </w:r>
                    <w:r w:rsidR="00944312">
                      <w:t xml:space="preserve">TPGi.com | </w:t>
                    </w:r>
                    <w:hyperlink r:id="rId2" w:history="1">
                      <w:r w:rsidR="00944312" w:rsidRPr="00944312">
                        <w:rPr>
                          <w:rFonts w:ascii="Open Sans" w:eastAsia="Times New Roman" w:hAnsi="Open Sans" w:cs="Open Sans"/>
                          <w:b/>
                          <w:bCs/>
                          <w:color w:val="0000FF"/>
                          <w:sz w:val="23"/>
                          <w:szCs w:val="23"/>
                          <w:u w:val="single"/>
                        </w:rPr>
                        <w:t>(877) 775-9474</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89BF" w14:textId="77777777" w:rsidR="00755503" w:rsidRDefault="00755503" w:rsidP="00671ADF">
      <w:pPr>
        <w:spacing w:after="0" w:line="240" w:lineRule="auto"/>
      </w:pPr>
      <w:r>
        <w:separator/>
      </w:r>
    </w:p>
  </w:footnote>
  <w:footnote w:type="continuationSeparator" w:id="0">
    <w:p w14:paraId="62BD3C79" w14:textId="77777777" w:rsidR="00755503" w:rsidRDefault="00755503" w:rsidP="0067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F4E2" w14:textId="674EE501" w:rsidR="0010047F" w:rsidRDefault="007F5284" w:rsidP="007F5284">
    <w:pPr>
      <w:pStyle w:val="Header"/>
      <w:ind w:left="1440"/>
    </w:pPr>
    <w:r>
      <w:rPr>
        <w:noProof/>
      </w:rPr>
      <w:drawing>
        <wp:inline distT="0" distB="0" distL="0" distR="0" wp14:anchorId="10FAE7EB" wp14:editId="6DCEB5B9">
          <wp:extent cx="1290460" cy="499533"/>
          <wp:effectExtent l="0" t="0" r="5080" b="0"/>
          <wp:docPr id="1" name="Picture 1" descr="TP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PGi"/>
                  <pic:cNvPicPr/>
                </pic:nvPicPr>
                <pic:blipFill>
                  <a:blip r:embed="rId1">
                    <a:extLst>
                      <a:ext uri="{28A0092B-C50C-407E-A947-70E740481C1C}">
                        <a14:useLocalDpi xmlns:a14="http://schemas.microsoft.com/office/drawing/2010/main" val="0"/>
                      </a:ext>
                    </a:extLst>
                  </a:blip>
                  <a:stretch>
                    <a:fillRect/>
                  </a:stretch>
                </pic:blipFill>
                <pic:spPr>
                  <a:xfrm>
                    <a:off x="0" y="0"/>
                    <a:ext cx="1290460" cy="499533"/>
                  </a:xfrm>
                  <a:prstGeom prst="rect">
                    <a:avLst/>
                  </a:prstGeom>
                </pic:spPr>
              </pic:pic>
            </a:graphicData>
          </a:graphic>
        </wp:inline>
      </w:drawing>
    </w:r>
  </w:p>
  <w:p w14:paraId="0AA30EE2" w14:textId="28DB8540" w:rsidR="00671ADF" w:rsidRDefault="00671ADF" w:rsidP="0010047F">
    <w:pPr>
      <w:pStyle w:val="Header"/>
      <w:ind w:firstLine="990"/>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7BB"/>
    <w:multiLevelType w:val="hybridMultilevel"/>
    <w:tmpl w:val="36B2A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2E04F2"/>
    <w:multiLevelType w:val="hybridMultilevel"/>
    <w:tmpl w:val="DD50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EF1C44"/>
    <w:multiLevelType w:val="hybridMultilevel"/>
    <w:tmpl w:val="45482B62"/>
    <w:lvl w:ilvl="0" w:tplc="5B8C832A">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791354"/>
    <w:multiLevelType w:val="hybridMultilevel"/>
    <w:tmpl w:val="4CB09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907E0"/>
    <w:multiLevelType w:val="hybridMultilevel"/>
    <w:tmpl w:val="9560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E255B"/>
    <w:multiLevelType w:val="hybridMultilevel"/>
    <w:tmpl w:val="B3C89A46"/>
    <w:lvl w:ilvl="0" w:tplc="D88873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034D1"/>
    <w:multiLevelType w:val="hybridMultilevel"/>
    <w:tmpl w:val="F82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894CB6"/>
    <w:multiLevelType w:val="hybridMultilevel"/>
    <w:tmpl w:val="3C2A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48158">
    <w:abstractNumId w:val="6"/>
  </w:num>
  <w:num w:numId="2" w16cid:durableId="1775977759">
    <w:abstractNumId w:val="5"/>
  </w:num>
  <w:num w:numId="3" w16cid:durableId="1828743859">
    <w:abstractNumId w:val="2"/>
  </w:num>
  <w:num w:numId="4" w16cid:durableId="2028018196">
    <w:abstractNumId w:val="1"/>
  </w:num>
  <w:num w:numId="5" w16cid:durableId="1859196859">
    <w:abstractNumId w:val="0"/>
  </w:num>
  <w:num w:numId="6" w16cid:durableId="904022640">
    <w:abstractNumId w:val="7"/>
  </w:num>
  <w:num w:numId="7" w16cid:durableId="1903522141">
    <w:abstractNumId w:val="3"/>
  </w:num>
  <w:num w:numId="8" w16cid:durableId="1044984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58"/>
    <w:rsid w:val="00030890"/>
    <w:rsid w:val="0008418A"/>
    <w:rsid w:val="000945F0"/>
    <w:rsid w:val="000E5FA7"/>
    <w:rsid w:val="0010047F"/>
    <w:rsid w:val="00123ECD"/>
    <w:rsid w:val="001758B5"/>
    <w:rsid w:val="001F36A4"/>
    <w:rsid w:val="0034582D"/>
    <w:rsid w:val="003479A6"/>
    <w:rsid w:val="003B2952"/>
    <w:rsid w:val="0043240F"/>
    <w:rsid w:val="005E395A"/>
    <w:rsid w:val="006134DC"/>
    <w:rsid w:val="00671ADF"/>
    <w:rsid w:val="0067247F"/>
    <w:rsid w:val="00681775"/>
    <w:rsid w:val="00681BF9"/>
    <w:rsid w:val="006B4E20"/>
    <w:rsid w:val="006C293A"/>
    <w:rsid w:val="00730535"/>
    <w:rsid w:val="00755503"/>
    <w:rsid w:val="007F5284"/>
    <w:rsid w:val="00810CA2"/>
    <w:rsid w:val="00944312"/>
    <w:rsid w:val="009F4BD2"/>
    <w:rsid w:val="00A10807"/>
    <w:rsid w:val="00A81D8E"/>
    <w:rsid w:val="00AC4A17"/>
    <w:rsid w:val="00B31776"/>
    <w:rsid w:val="00BB71FB"/>
    <w:rsid w:val="00CF40A2"/>
    <w:rsid w:val="00D06851"/>
    <w:rsid w:val="00D27A0F"/>
    <w:rsid w:val="00D973FA"/>
    <w:rsid w:val="00DF563D"/>
    <w:rsid w:val="00EF02AE"/>
    <w:rsid w:val="00F14E08"/>
    <w:rsid w:val="00F20378"/>
    <w:rsid w:val="00F2085E"/>
    <w:rsid w:val="00F25358"/>
    <w:rsid w:val="00F55D11"/>
    <w:rsid w:val="00FF5022"/>
    <w:rsid w:val="171D8796"/>
    <w:rsid w:val="1D638F0B"/>
    <w:rsid w:val="31B528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ED19B"/>
  <w15:docId w15:val="{221D79A9-B347-41C2-9B60-6711758E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FF502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6A4"/>
    <w:pPr>
      <w:spacing w:before="240" w:after="120"/>
      <w:ind w:left="720"/>
      <w:outlineLvl w:val="1"/>
    </w:pPr>
    <w:rPr>
      <w:rFonts w:ascii="Open Sans" w:hAnsi="Open Sans" w:cs="Open San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F14E08"/>
    <w:pPr>
      <w:spacing w:after="0" w:line="240" w:lineRule="auto"/>
    </w:pPr>
    <w:rPr>
      <w:rFonts w:eastAsiaTheme="minorHAnsi"/>
      <w:color w:val="auto"/>
    </w:rPr>
  </w:style>
  <w:style w:type="character" w:customStyle="1" w:styleId="PlainTextChar">
    <w:name w:val="Plain Text Char"/>
    <w:basedOn w:val="DefaultParagraphFont"/>
    <w:link w:val="PlainText"/>
    <w:uiPriority w:val="99"/>
    <w:semiHidden/>
    <w:rsid w:val="00F14E08"/>
    <w:rPr>
      <w:rFonts w:ascii="Calibri" w:eastAsiaTheme="minorHAnsi" w:hAnsi="Calibri" w:cs="Calibri"/>
    </w:rPr>
  </w:style>
  <w:style w:type="paragraph" w:styleId="Header">
    <w:name w:val="header"/>
    <w:basedOn w:val="Normal"/>
    <w:link w:val="HeaderChar"/>
    <w:uiPriority w:val="99"/>
    <w:unhideWhenUsed/>
    <w:rsid w:val="00671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DF"/>
    <w:rPr>
      <w:rFonts w:ascii="Calibri" w:eastAsia="Calibri" w:hAnsi="Calibri" w:cs="Calibri"/>
      <w:color w:val="000000"/>
    </w:rPr>
  </w:style>
  <w:style w:type="paragraph" w:styleId="Footer">
    <w:name w:val="footer"/>
    <w:basedOn w:val="Normal"/>
    <w:link w:val="FooterChar"/>
    <w:uiPriority w:val="99"/>
    <w:unhideWhenUsed/>
    <w:rsid w:val="00671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DF"/>
    <w:rPr>
      <w:rFonts w:ascii="Calibri" w:eastAsia="Calibri" w:hAnsi="Calibri" w:cs="Calibri"/>
      <w:color w:val="000000"/>
    </w:rPr>
  </w:style>
  <w:style w:type="character" w:styleId="Strong">
    <w:name w:val="Strong"/>
    <w:basedOn w:val="DefaultParagraphFont"/>
    <w:uiPriority w:val="22"/>
    <w:qFormat/>
    <w:rsid w:val="00944312"/>
    <w:rPr>
      <w:b/>
      <w:bCs/>
    </w:rPr>
  </w:style>
  <w:style w:type="character" w:styleId="Hyperlink">
    <w:name w:val="Hyperlink"/>
    <w:basedOn w:val="DefaultParagraphFont"/>
    <w:uiPriority w:val="99"/>
    <w:semiHidden/>
    <w:unhideWhenUsed/>
    <w:rsid w:val="00944312"/>
    <w:rPr>
      <w:color w:val="0000FF"/>
      <w:u w:val="single"/>
    </w:rPr>
  </w:style>
  <w:style w:type="character" w:customStyle="1" w:styleId="Heading1Char">
    <w:name w:val="Heading 1 Char"/>
    <w:basedOn w:val="DefaultParagraphFont"/>
    <w:link w:val="Heading1"/>
    <w:uiPriority w:val="9"/>
    <w:rsid w:val="00FF50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36A4"/>
    <w:rPr>
      <w:rFonts w:ascii="Open Sans" w:eastAsia="Calibri" w:hAnsi="Open Sans" w:cs="Open Sans"/>
      <w:color w:val="2F5496" w:themeColor="accent1" w:themeShade="BF"/>
      <w:sz w:val="28"/>
      <w:szCs w:val="28"/>
    </w:rPr>
  </w:style>
  <w:style w:type="paragraph" w:styleId="ListParagraph">
    <w:name w:val="List Paragraph"/>
    <w:basedOn w:val="Normal"/>
    <w:uiPriority w:val="34"/>
    <w:qFormat/>
    <w:rsid w:val="00FF5022"/>
    <w:pPr>
      <w:spacing w:after="0" w:line="240" w:lineRule="auto"/>
      <w:ind w:left="720"/>
      <w:contextualSpacing/>
    </w:pPr>
    <w:rPr>
      <w:rFonts w:asciiTheme="minorHAnsi" w:eastAsiaTheme="minorHAnsi" w:hAnsiTheme="minorHAnsi" w:cstheme="minorBidi"/>
      <w:color w:val="auto"/>
      <w:sz w:val="24"/>
      <w:szCs w:val="24"/>
    </w:rPr>
  </w:style>
  <w:style w:type="character" w:styleId="CommentReference">
    <w:name w:val="annotation reference"/>
    <w:basedOn w:val="DefaultParagraphFont"/>
    <w:uiPriority w:val="99"/>
    <w:semiHidden/>
    <w:unhideWhenUsed/>
    <w:rsid w:val="00FF5022"/>
    <w:rPr>
      <w:sz w:val="16"/>
      <w:szCs w:val="16"/>
    </w:rPr>
  </w:style>
  <w:style w:type="character" w:styleId="FollowedHyperlink">
    <w:name w:val="FollowedHyperlink"/>
    <w:basedOn w:val="DefaultParagraphFont"/>
    <w:uiPriority w:val="99"/>
    <w:semiHidden/>
    <w:unhideWhenUsed/>
    <w:rsid w:val="00FF5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7767">
      <w:bodyDiv w:val="1"/>
      <w:marLeft w:val="0"/>
      <w:marRight w:val="0"/>
      <w:marTop w:val="0"/>
      <w:marBottom w:val="0"/>
      <w:divBdr>
        <w:top w:val="none" w:sz="0" w:space="0" w:color="auto"/>
        <w:left w:val="none" w:sz="0" w:space="0" w:color="auto"/>
        <w:bottom w:val="none" w:sz="0" w:space="0" w:color="auto"/>
        <w:right w:val="none" w:sz="0" w:space="0" w:color="auto"/>
      </w:divBdr>
    </w:div>
    <w:div w:id="1870411285">
      <w:bodyDiv w:val="1"/>
      <w:marLeft w:val="0"/>
      <w:marRight w:val="0"/>
      <w:marTop w:val="0"/>
      <w:marBottom w:val="0"/>
      <w:divBdr>
        <w:top w:val="none" w:sz="0" w:space="0" w:color="auto"/>
        <w:left w:val="none" w:sz="0" w:space="0" w:color="auto"/>
        <w:bottom w:val="none" w:sz="0" w:space="0" w:color="auto"/>
        <w:right w:val="none" w:sz="0" w:space="0" w:color="auto"/>
      </w:divBdr>
    </w:div>
    <w:div w:id="212842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pgi.com/free-website-accessibility-scan/" TargetMode="External"/><Relationship Id="rId13" Type="http://schemas.openxmlformats.org/officeDocument/2006/relationships/hyperlink" Target="https://www.tpgi.com/a-starter-guide-for-improving-digital-accessi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pgi.com/contact/" TargetMode="External"/><Relationship Id="rId12" Type="http://schemas.openxmlformats.org/officeDocument/2006/relationships/hyperlink" Target="https://www.tpgi.com/accessibility-solutions/training/accessibility-training-modu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gi.com/accessibility-solutions/trai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pgi.com/vpat/" TargetMode="External"/><Relationship Id="rId4" Type="http://schemas.openxmlformats.org/officeDocument/2006/relationships/webSettings" Target="webSettings.xml"/><Relationship Id="rId9" Type="http://schemas.openxmlformats.org/officeDocument/2006/relationships/hyperlink" Target="https://www.tpgi.com/accessibility-solutions/accessibility-conformance/" TargetMode="External"/><Relationship Id="rId14" Type="http://schemas.openxmlformats.org/officeDocument/2006/relationships/hyperlink" Target="https://www.tpgi.com/the-accessibility-maturity-lifecycl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tel:1-877-775-9474" TargetMode="External"/><Relationship Id="rId1" Type="http://schemas.openxmlformats.org/officeDocument/2006/relationships/hyperlink" Target="tel:1-877-775-94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Miller</dc:creator>
  <cp:keywords/>
  <cp:lastModifiedBy>Jean Strohmier</cp:lastModifiedBy>
  <cp:revision>2</cp:revision>
  <dcterms:created xsi:type="dcterms:W3CDTF">2022-12-05T15:37:00Z</dcterms:created>
  <dcterms:modified xsi:type="dcterms:W3CDTF">2022-12-05T15:37:00Z</dcterms:modified>
</cp:coreProperties>
</file>